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193" w:rsidRDefault="00490145" w:rsidP="00490145">
      <w:pPr>
        <w:rPr>
          <w:b/>
          <w:color w:val="0F243E" w:themeColor="text2" w:themeShade="80"/>
          <w:sz w:val="40"/>
          <w:szCs w:val="40"/>
        </w:rPr>
      </w:pPr>
      <w:r>
        <w:rPr>
          <w:b/>
          <w:noProof/>
          <w:color w:val="0F243E" w:themeColor="text2" w:themeShade="80"/>
          <w:sz w:val="40"/>
          <w:szCs w:val="40"/>
          <w:lang w:eastAsia="en-GB"/>
        </w:rPr>
        <w:drawing>
          <wp:inline distT="0" distB="0" distL="0" distR="0">
            <wp:extent cx="1214052" cy="847725"/>
            <wp:effectExtent l="19050" t="0" r="5148" b="0"/>
            <wp:docPr id="2" name="Picture 1" descr="HB2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2 logo.jpg"/>
                    <pic:cNvPicPr/>
                  </pic:nvPicPr>
                  <pic:blipFill>
                    <a:blip r:embed="rId5" cstate="print"/>
                    <a:stretch>
                      <a:fillRect/>
                    </a:stretch>
                  </pic:blipFill>
                  <pic:spPr>
                    <a:xfrm>
                      <a:off x="0" y="0"/>
                      <a:ext cx="1214120" cy="847725"/>
                    </a:xfrm>
                    <a:prstGeom prst="rect">
                      <a:avLst/>
                    </a:prstGeom>
                  </pic:spPr>
                </pic:pic>
              </a:graphicData>
            </a:graphic>
          </wp:inline>
        </w:drawing>
      </w:r>
      <w:r>
        <w:rPr>
          <w:b/>
          <w:color w:val="0F243E" w:themeColor="text2" w:themeShade="80"/>
          <w:sz w:val="40"/>
          <w:szCs w:val="40"/>
        </w:rPr>
        <w:t>HIGH TECH BRISTOL &amp; BATH</w:t>
      </w:r>
    </w:p>
    <w:p w:rsidR="00CE120A" w:rsidRPr="000642F9" w:rsidRDefault="00372391" w:rsidP="00372391">
      <w:pPr>
        <w:jc w:val="center"/>
        <w:rPr>
          <w:b/>
          <w:color w:val="0F243E" w:themeColor="text2" w:themeShade="80"/>
          <w:sz w:val="40"/>
          <w:szCs w:val="40"/>
        </w:rPr>
      </w:pPr>
      <w:r w:rsidRPr="000642F9">
        <w:rPr>
          <w:b/>
          <w:color w:val="0F243E" w:themeColor="text2" w:themeShade="80"/>
          <w:sz w:val="40"/>
          <w:szCs w:val="40"/>
        </w:rPr>
        <w:t>Special Interest Groups</w:t>
      </w:r>
    </w:p>
    <w:p w:rsidR="00C30A2D" w:rsidRPr="00C30A2D" w:rsidRDefault="00C30A2D">
      <w:pPr>
        <w:rPr>
          <w:b/>
          <w:color w:val="0F243E" w:themeColor="text2" w:themeShade="80"/>
        </w:rPr>
      </w:pPr>
      <w:r w:rsidRPr="00C30A2D">
        <w:rPr>
          <w:b/>
          <w:color w:val="0F243E" w:themeColor="text2" w:themeShade="80"/>
        </w:rPr>
        <w:t>Introduction</w:t>
      </w:r>
    </w:p>
    <w:p w:rsidR="00242BA2" w:rsidRDefault="00242BA2">
      <w:pPr>
        <w:rPr>
          <w:color w:val="0F243E" w:themeColor="text2" w:themeShade="80"/>
        </w:rPr>
      </w:pPr>
      <w:r>
        <w:rPr>
          <w:color w:val="0F243E" w:themeColor="text2" w:themeShade="80"/>
        </w:rPr>
        <w:t>Special Interest Groups are an established mechanism for bringing together expertise. Starting with the Bluetooth industry SIG to develop a point to point wireless protocol, the concept has moved into many other areas. These focus on bringing together engineers and technologists to work on the technical issues to drive innovation.</w:t>
      </w:r>
    </w:p>
    <w:p w:rsidR="0036736D" w:rsidRDefault="0036736D">
      <w:pPr>
        <w:rPr>
          <w:color w:val="0F243E" w:themeColor="text2" w:themeShade="80"/>
        </w:rPr>
      </w:pPr>
      <w:r>
        <w:rPr>
          <w:color w:val="0F243E" w:themeColor="text2" w:themeShade="80"/>
        </w:rPr>
        <w:t xml:space="preserve">Collaborating in a Special Interest Group helps speed up technology developments, build links </w:t>
      </w:r>
      <w:r w:rsidR="001E3C29">
        <w:rPr>
          <w:color w:val="0F243E" w:themeColor="text2" w:themeShade="80"/>
        </w:rPr>
        <w:t>within the ecosystem and strengthen the competitive position of a company. The aim is to provide these benefits locally focussed around the specialist high tech activities in the West of England.</w:t>
      </w:r>
    </w:p>
    <w:p w:rsidR="0036736D" w:rsidRDefault="0036736D">
      <w:pPr>
        <w:rPr>
          <w:color w:val="0F243E" w:themeColor="text2" w:themeShade="80"/>
        </w:rPr>
      </w:pPr>
    </w:p>
    <w:p w:rsidR="00C30A2D" w:rsidRPr="00C30A2D" w:rsidRDefault="00C30A2D">
      <w:pPr>
        <w:rPr>
          <w:b/>
          <w:color w:val="0F243E" w:themeColor="text2" w:themeShade="80"/>
        </w:rPr>
      </w:pPr>
      <w:r w:rsidRPr="00C30A2D">
        <w:rPr>
          <w:b/>
          <w:color w:val="0F243E" w:themeColor="text2" w:themeShade="80"/>
        </w:rPr>
        <w:t>High Tech Sector Group</w:t>
      </w:r>
    </w:p>
    <w:p w:rsidR="00490145" w:rsidRPr="002F2EB7" w:rsidRDefault="00E20698" w:rsidP="00490145">
      <w:pPr>
        <w:rPr>
          <w:color w:val="0F243E" w:themeColor="text2" w:themeShade="80"/>
        </w:rPr>
      </w:pPr>
      <w:r>
        <w:rPr>
          <w:color w:val="0F243E" w:themeColor="text2" w:themeShade="80"/>
        </w:rPr>
        <w:t xml:space="preserve">The High Tech Sector group </w:t>
      </w:r>
      <w:r w:rsidR="00490145">
        <w:rPr>
          <w:color w:val="0F243E" w:themeColor="text2" w:themeShade="80"/>
        </w:rPr>
        <w:t xml:space="preserve">of the West of England Local Economic Partnership </w:t>
      </w:r>
      <w:r>
        <w:rPr>
          <w:color w:val="0F243E" w:themeColor="text2" w:themeShade="80"/>
        </w:rPr>
        <w:t xml:space="preserve">has set up a Community Interest Company (CIC) to act as the umbrella organisation to stimulate and administrate a group of </w:t>
      </w:r>
      <w:r w:rsidRPr="002F2EB7">
        <w:rPr>
          <w:color w:val="0F243E" w:themeColor="text2" w:themeShade="80"/>
        </w:rPr>
        <w:t>high tech Spe</w:t>
      </w:r>
      <w:r>
        <w:rPr>
          <w:color w:val="0F243E" w:themeColor="text2" w:themeShade="80"/>
        </w:rPr>
        <w:t>cial Interest Groups</w:t>
      </w:r>
      <w:r w:rsidRPr="002F2EB7">
        <w:rPr>
          <w:color w:val="0F243E" w:themeColor="text2" w:themeShade="80"/>
        </w:rPr>
        <w:t xml:space="preserve"> in the Bristol and Bath area</w:t>
      </w:r>
      <w:r>
        <w:rPr>
          <w:color w:val="0F243E" w:themeColor="text2" w:themeShade="80"/>
        </w:rPr>
        <w:t xml:space="preserve"> using the same </w:t>
      </w:r>
      <w:r w:rsidR="00C30A2D">
        <w:rPr>
          <w:color w:val="0F243E" w:themeColor="text2" w:themeShade="80"/>
        </w:rPr>
        <w:t xml:space="preserve">sustainable </w:t>
      </w:r>
      <w:r>
        <w:rPr>
          <w:color w:val="0F243E" w:themeColor="text2" w:themeShade="80"/>
        </w:rPr>
        <w:t>model</w:t>
      </w:r>
      <w:r w:rsidR="00490145">
        <w:rPr>
          <w:color w:val="0F243E" w:themeColor="text2" w:themeShade="80"/>
        </w:rPr>
        <w:t xml:space="preserve"> that is used successfully Cambridge Wireless. This evolved out of the Cambridge Network and now has 18 SIGs with over 400 member companies paying a yearly subscription. A company or university joins and any of its engineers can attend any of the SIGs, making the subscription cost effective.</w:t>
      </w:r>
    </w:p>
    <w:p w:rsidR="00CE120A" w:rsidRDefault="00CE120A">
      <w:pPr>
        <w:rPr>
          <w:color w:val="0F243E" w:themeColor="text2" w:themeShade="80"/>
        </w:rPr>
      </w:pPr>
      <w:r w:rsidRPr="002F2EB7">
        <w:rPr>
          <w:color w:val="0F243E" w:themeColor="text2" w:themeShade="80"/>
        </w:rPr>
        <w:t xml:space="preserve">High Tech Bristol &amp; Bath (HB2) is </w:t>
      </w:r>
      <w:r w:rsidR="006F2C0F">
        <w:rPr>
          <w:color w:val="0F243E" w:themeColor="text2" w:themeShade="80"/>
        </w:rPr>
        <w:t xml:space="preserve">open to individual, </w:t>
      </w:r>
      <w:r w:rsidRPr="002F2EB7">
        <w:rPr>
          <w:color w:val="0F243E" w:themeColor="text2" w:themeShade="80"/>
        </w:rPr>
        <w:t xml:space="preserve">corporate </w:t>
      </w:r>
      <w:r w:rsidR="006F2C0F">
        <w:rPr>
          <w:color w:val="0F243E" w:themeColor="text2" w:themeShade="80"/>
        </w:rPr>
        <w:t xml:space="preserve">and university </w:t>
      </w:r>
      <w:r w:rsidRPr="002F2EB7">
        <w:rPr>
          <w:color w:val="0F243E" w:themeColor="text2" w:themeShade="80"/>
        </w:rPr>
        <w:t>members anywhere in the world, bringing together expertise in a wide range of technologies</w:t>
      </w:r>
      <w:r w:rsidR="00E20698">
        <w:rPr>
          <w:color w:val="0F243E" w:themeColor="text2" w:themeShade="80"/>
        </w:rPr>
        <w:t xml:space="preserve"> for the benefit of the region</w:t>
      </w:r>
      <w:r w:rsidRPr="002F2EB7">
        <w:rPr>
          <w:color w:val="0F243E" w:themeColor="text2" w:themeShade="80"/>
        </w:rPr>
        <w:t xml:space="preserve">. </w:t>
      </w:r>
      <w:r w:rsidR="00490145">
        <w:rPr>
          <w:color w:val="0F243E" w:themeColor="text2" w:themeShade="80"/>
        </w:rPr>
        <w:t>HB2 collaborates with Cambridge Wireless on events, but also has its own focus on areas where the region is strong, making use of the ‘Smart Specialization’.</w:t>
      </w:r>
    </w:p>
    <w:p w:rsidR="00E20698" w:rsidRDefault="00CE120A">
      <w:pPr>
        <w:rPr>
          <w:color w:val="0F243E" w:themeColor="text2" w:themeShade="80"/>
        </w:rPr>
      </w:pPr>
      <w:r w:rsidRPr="002F2EB7">
        <w:rPr>
          <w:color w:val="0F243E" w:themeColor="text2" w:themeShade="80"/>
        </w:rPr>
        <w:t xml:space="preserve">The </w:t>
      </w:r>
      <w:r w:rsidR="00E20698">
        <w:rPr>
          <w:color w:val="0F243E" w:themeColor="text2" w:themeShade="80"/>
        </w:rPr>
        <w:t xml:space="preserve">key lesson from Cambridge Wireless is that the </w:t>
      </w:r>
      <w:r w:rsidRPr="002F2EB7">
        <w:rPr>
          <w:color w:val="0F243E" w:themeColor="text2" w:themeShade="80"/>
        </w:rPr>
        <w:t xml:space="preserve">SIGs are determined by the members, with two to three SIG champions running the groups with support from central administration to determine the frequency, location and content of meetings. </w:t>
      </w:r>
      <w:r w:rsidR="00E20698">
        <w:rPr>
          <w:color w:val="0F243E" w:themeColor="text2" w:themeShade="80"/>
        </w:rPr>
        <w:t xml:space="preserve">These will focus on the electronics, silicon and software aspects of the challenges facing the different groups. </w:t>
      </w:r>
      <w:r w:rsidR="00C30A2D">
        <w:rPr>
          <w:color w:val="0F243E" w:themeColor="text2" w:themeShade="80"/>
        </w:rPr>
        <w:t xml:space="preserve"> If there is not the support for the SIG, the group will stop.</w:t>
      </w:r>
    </w:p>
    <w:p w:rsidR="00CE120A" w:rsidRDefault="00CE120A">
      <w:pPr>
        <w:rPr>
          <w:color w:val="0F243E" w:themeColor="text2" w:themeShade="80"/>
        </w:rPr>
      </w:pPr>
      <w:r w:rsidRPr="002F2EB7">
        <w:rPr>
          <w:color w:val="0F243E" w:themeColor="text2" w:themeShade="80"/>
        </w:rPr>
        <w:t xml:space="preserve">SIG champions are elected by the membership of the groups, and are also </w:t>
      </w:r>
      <w:r w:rsidR="00E20698">
        <w:rPr>
          <w:color w:val="0F243E" w:themeColor="text2" w:themeShade="80"/>
        </w:rPr>
        <w:t xml:space="preserve">represented on the board of HB2 </w:t>
      </w:r>
      <w:r w:rsidRPr="002F2EB7">
        <w:rPr>
          <w:color w:val="0F243E" w:themeColor="text2" w:themeShade="80"/>
        </w:rPr>
        <w:t xml:space="preserve">alongside </w:t>
      </w:r>
      <w:r w:rsidR="00E20698">
        <w:rPr>
          <w:color w:val="0F243E" w:themeColor="text2" w:themeShade="80"/>
        </w:rPr>
        <w:t xml:space="preserve">representatives of the </w:t>
      </w:r>
      <w:r w:rsidRPr="002F2EB7">
        <w:rPr>
          <w:color w:val="0F243E" w:themeColor="text2" w:themeShade="80"/>
        </w:rPr>
        <w:t>High Tech Sect</w:t>
      </w:r>
      <w:r w:rsidR="00E20698">
        <w:rPr>
          <w:color w:val="0F243E" w:themeColor="text2" w:themeShade="80"/>
        </w:rPr>
        <w:t>or group.</w:t>
      </w:r>
    </w:p>
    <w:p w:rsidR="001E3C29" w:rsidRDefault="001E3C29">
      <w:pPr>
        <w:rPr>
          <w:color w:val="0F243E" w:themeColor="text2" w:themeShade="80"/>
        </w:rPr>
      </w:pPr>
    </w:p>
    <w:p w:rsidR="001E3C29" w:rsidRDefault="001E3C29">
      <w:pPr>
        <w:rPr>
          <w:color w:val="0F243E" w:themeColor="text2" w:themeShade="80"/>
        </w:rPr>
      </w:pPr>
    </w:p>
    <w:p w:rsidR="001E3C29" w:rsidRDefault="001E3C29">
      <w:pPr>
        <w:rPr>
          <w:color w:val="0F243E" w:themeColor="text2" w:themeShade="80"/>
        </w:rPr>
      </w:pPr>
    </w:p>
    <w:p w:rsidR="00C30A2D" w:rsidRPr="00C30A2D" w:rsidRDefault="00C30A2D">
      <w:pPr>
        <w:rPr>
          <w:b/>
          <w:color w:val="0F243E" w:themeColor="text2" w:themeShade="80"/>
        </w:rPr>
      </w:pPr>
      <w:r w:rsidRPr="00C30A2D">
        <w:rPr>
          <w:b/>
          <w:color w:val="0F243E" w:themeColor="text2" w:themeShade="80"/>
        </w:rPr>
        <w:t>SIG proposal</w:t>
      </w:r>
      <w:r>
        <w:rPr>
          <w:b/>
          <w:color w:val="0F243E" w:themeColor="text2" w:themeShade="80"/>
        </w:rPr>
        <w:t>s</w:t>
      </w:r>
    </w:p>
    <w:p w:rsidR="00C30A2D" w:rsidRDefault="00E20698">
      <w:pPr>
        <w:rPr>
          <w:color w:val="0F243E" w:themeColor="text2" w:themeShade="80"/>
        </w:rPr>
      </w:pPr>
      <w:r>
        <w:rPr>
          <w:color w:val="0F243E" w:themeColor="text2" w:themeShade="80"/>
        </w:rPr>
        <w:t>HB2 is proposing a number of SIGs that map directly onto the smart specialisation of the region</w:t>
      </w:r>
      <w:r w:rsidR="00BB025F">
        <w:rPr>
          <w:color w:val="0F243E" w:themeColor="text2" w:themeShade="80"/>
        </w:rPr>
        <w:t xml:space="preserve"> with a focus directly on the hardware and software development</w:t>
      </w:r>
      <w:r w:rsidR="00C30A2D">
        <w:rPr>
          <w:color w:val="0F243E" w:themeColor="text2" w:themeShade="80"/>
        </w:rPr>
        <w:t xml:space="preserve"> that is at the core of the high </w:t>
      </w:r>
      <w:r w:rsidR="006F2C0F">
        <w:rPr>
          <w:color w:val="0F243E" w:themeColor="text2" w:themeShade="80"/>
        </w:rPr>
        <w:t>t</w:t>
      </w:r>
      <w:r w:rsidR="00C30A2D">
        <w:rPr>
          <w:color w:val="0F243E" w:themeColor="text2" w:themeShade="80"/>
        </w:rPr>
        <w:t>ech activity in the region</w:t>
      </w:r>
      <w:r w:rsidR="00BB025F">
        <w:rPr>
          <w:color w:val="0F243E" w:themeColor="text2" w:themeShade="80"/>
        </w:rPr>
        <w:t xml:space="preserve">. </w:t>
      </w:r>
    </w:p>
    <w:p w:rsidR="00E20698" w:rsidRPr="002F2EB7" w:rsidRDefault="00E20698">
      <w:pPr>
        <w:rPr>
          <w:color w:val="0F243E" w:themeColor="text2" w:themeShade="80"/>
        </w:rPr>
      </w:pPr>
    </w:p>
    <w:tbl>
      <w:tblPr>
        <w:tblStyle w:val="TableGrid"/>
        <w:tblW w:w="0" w:type="auto"/>
        <w:tblInd w:w="2045" w:type="dxa"/>
        <w:tblLook w:val="04A0"/>
      </w:tblPr>
      <w:tblGrid>
        <w:gridCol w:w="1677"/>
        <w:gridCol w:w="2761"/>
        <w:gridCol w:w="2759"/>
      </w:tblGrid>
      <w:tr w:rsidR="00C30A2D" w:rsidTr="00E82EDD">
        <w:tc>
          <w:tcPr>
            <w:tcW w:w="1677" w:type="dxa"/>
            <w:vMerge w:val="restart"/>
          </w:tcPr>
          <w:p w:rsidR="00C30A2D" w:rsidRDefault="00C30A2D" w:rsidP="00372391">
            <w:pPr>
              <w:jc w:val="center"/>
            </w:pPr>
          </w:p>
          <w:p w:rsidR="00C30A2D" w:rsidRDefault="00C30A2D" w:rsidP="00372391">
            <w:pPr>
              <w:jc w:val="center"/>
            </w:pPr>
          </w:p>
          <w:p w:rsidR="00C30A2D" w:rsidRDefault="00C30A2D" w:rsidP="00372391">
            <w:pPr>
              <w:jc w:val="center"/>
            </w:pPr>
            <w:r w:rsidRPr="00C30A2D">
              <w:rPr>
                <w:b/>
              </w:rPr>
              <w:t>Proposed</w:t>
            </w:r>
            <w:r>
              <w:t xml:space="preserve"> HB2 Special Interest Groups</w:t>
            </w:r>
            <w:r w:rsidR="00490145">
              <w:t xml:space="preserve"> with companies that have expressed interest</w:t>
            </w:r>
          </w:p>
          <w:p w:rsidR="00C30A2D" w:rsidRDefault="00C30A2D" w:rsidP="00372391">
            <w:pPr>
              <w:jc w:val="center"/>
            </w:pPr>
          </w:p>
          <w:p w:rsidR="00C30A2D" w:rsidRDefault="00C30A2D" w:rsidP="00372391">
            <w:pPr>
              <w:jc w:val="center"/>
            </w:pPr>
            <w:r>
              <w:t>If a group does not have sufficient champions to drive it forwards, or champions are not replaced, then the group will close</w:t>
            </w:r>
          </w:p>
          <w:p w:rsidR="00C30A2D" w:rsidRDefault="00C30A2D" w:rsidP="00816333"/>
        </w:tc>
        <w:tc>
          <w:tcPr>
            <w:tcW w:w="5520" w:type="dxa"/>
            <w:gridSpan w:val="2"/>
          </w:tcPr>
          <w:p w:rsidR="00C30A2D" w:rsidRPr="00C30A2D" w:rsidRDefault="00C30A2D" w:rsidP="00C30A2D">
            <w:pPr>
              <w:jc w:val="center"/>
              <w:rPr>
                <w:b/>
                <w:color w:val="403152" w:themeColor="accent4" w:themeShade="80"/>
                <w:sz w:val="40"/>
                <w:szCs w:val="40"/>
              </w:rPr>
            </w:pPr>
            <w:r w:rsidRPr="00C30A2D">
              <w:rPr>
                <w:b/>
                <w:color w:val="403152" w:themeColor="accent4" w:themeShade="80"/>
                <w:sz w:val="40"/>
                <w:szCs w:val="40"/>
              </w:rPr>
              <w:t>Technology SIGs</w:t>
            </w:r>
          </w:p>
        </w:tc>
      </w:tr>
      <w:tr w:rsidR="00C30A2D" w:rsidTr="00BB025F">
        <w:tc>
          <w:tcPr>
            <w:tcW w:w="1677" w:type="dxa"/>
            <w:vMerge/>
          </w:tcPr>
          <w:p w:rsidR="00C30A2D" w:rsidRDefault="00C30A2D"/>
        </w:tc>
        <w:tc>
          <w:tcPr>
            <w:tcW w:w="2761" w:type="dxa"/>
          </w:tcPr>
          <w:p w:rsidR="00C30A2D" w:rsidRPr="00372391" w:rsidRDefault="00C30A2D">
            <w:pPr>
              <w:rPr>
                <w:color w:val="FF0000"/>
              </w:rPr>
            </w:pPr>
            <w:r w:rsidRPr="00372391">
              <w:rPr>
                <w:color w:val="FF0000"/>
              </w:rPr>
              <w:t>Wireless</w:t>
            </w:r>
          </w:p>
        </w:tc>
        <w:tc>
          <w:tcPr>
            <w:tcW w:w="2759" w:type="dxa"/>
          </w:tcPr>
          <w:p w:rsidR="00C30A2D" w:rsidRDefault="00C30A2D">
            <w:pPr>
              <w:rPr>
                <w:color w:val="FF0000"/>
              </w:rPr>
            </w:pPr>
            <w:proofErr w:type="spellStart"/>
            <w:r>
              <w:rPr>
                <w:color w:val="FF0000"/>
              </w:rPr>
              <w:t>Blu</w:t>
            </w:r>
            <w:proofErr w:type="spellEnd"/>
            <w:r>
              <w:rPr>
                <w:color w:val="FF0000"/>
              </w:rPr>
              <w:t xml:space="preserve"> Wireless Technology</w:t>
            </w:r>
          </w:p>
          <w:p w:rsidR="00C30A2D" w:rsidRDefault="00C30A2D">
            <w:pPr>
              <w:rPr>
                <w:color w:val="FF0000"/>
              </w:rPr>
            </w:pPr>
            <w:r>
              <w:rPr>
                <w:color w:val="FF0000"/>
              </w:rPr>
              <w:t>Broadcom</w:t>
            </w:r>
          </w:p>
          <w:p w:rsidR="00C30A2D" w:rsidRDefault="00C30A2D">
            <w:pPr>
              <w:rPr>
                <w:color w:val="FF0000"/>
              </w:rPr>
            </w:pPr>
            <w:r>
              <w:rPr>
                <w:color w:val="FF0000"/>
              </w:rPr>
              <w:t>NVIDIA</w:t>
            </w:r>
          </w:p>
          <w:p w:rsidR="00490145" w:rsidRPr="00372391" w:rsidRDefault="00C30A2D">
            <w:pPr>
              <w:rPr>
                <w:color w:val="FF0000"/>
              </w:rPr>
            </w:pPr>
            <w:r>
              <w:rPr>
                <w:color w:val="FF0000"/>
              </w:rPr>
              <w:t>Toshiba</w:t>
            </w:r>
          </w:p>
        </w:tc>
      </w:tr>
      <w:tr w:rsidR="00C30A2D" w:rsidTr="00BB025F">
        <w:tc>
          <w:tcPr>
            <w:tcW w:w="1677" w:type="dxa"/>
            <w:vMerge/>
          </w:tcPr>
          <w:p w:rsidR="00C30A2D" w:rsidRDefault="00C30A2D"/>
        </w:tc>
        <w:tc>
          <w:tcPr>
            <w:tcW w:w="2761" w:type="dxa"/>
          </w:tcPr>
          <w:p w:rsidR="00C30A2D" w:rsidRPr="00372391" w:rsidRDefault="00C30A2D">
            <w:pPr>
              <w:rPr>
                <w:color w:val="002060"/>
              </w:rPr>
            </w:pPr>
            <w:r w:rsidRPr="00372391">
              <w:rPr>
                <w:color w:val="002060"/>
              </w:rPr>
              <w:t>Multicore and high performance processing</w:t>
            </w:r>
          </w:p>
        </w:tc>
        <w:tc>
          <w:tcPr>
            <w:tcW w:w="2759" w:type="dxa"/>
          </w:tcPr>
          <w:p w:rsidR="00C30A2D" w:rsidRDefault="00C30A2D">
            <w:pPr>
              <w:rPr>
                <w:color w:val="002060"/>
              </w:rPr>
            </w:pPr>
            <w:proofErr w:type="spellStart"/>
            <w:r>
              <w:rPr>
                <w:color w:val="002060"/>
              </w:rPr>
              <w:t>Zenotech</w:t>
            </w:r>
            <w:proofErr w:type="spellEnd"/>
          </w:p>
          <w:p w:rsidR="00C30A2D" w:rsidRDefault="00C30A2D">
            <w:pPr>
              <w:rPr>
                <w:color w:val="002060"/>
              </w:rPr>
            </w:pPr>
            <w:r>
              <w:rPr>
                <w:color w:val="002060"/>
              </w:rPr>
              <w:t>HP</w:t>
            </w:r>
          </w:p>
          <w:p w:rsidR="00C30A2D" w:rsidRDefault="00C30A2D">
            <w:pPr>
              <w:rPr>
                <w:color w:val="002060"/>
              </w:rPr>
            </w:pPr>
            <w:proofErr w:type="spellStart"/>
            <w:r>
              <w:rPr>
                <w:color w:val="002060"/>
              </w:rPr>
              <w:t>Gnodal</w:t>
            </w:r>
            <w:proofErr w:type="spellEnd"/>
            <w:r>
              <w:rPr>
                <w:color w:val="002060"/>
              </w:rPr>
              <w:t>/Cray</w:t>
            </w:r>
          </w:p>
          <w:p w:rsidR="00C30A2D" w:rsidRDefault="00C30A2D">
            <w:pPr>
              <w:rPr>
                <w:color w:val="002060"/>
              </w:rPr>
            </w:pPr>
            <w:r>
              <w:rPr>
                <w:color w:val="002060"/>
              </w:rPr>
              <w:t>XMOS</w:t>
            </w:r>
          </w:p>
          <w:p w:rsidR="00C30A2D" w:rsidRDefault="00C30A2D">
            <w:pPr>
              <w:rPr>
                <w:color w:val="002060"/>
              </w:rPr>
            </w:pPr>
            <w:r>
              <w:rPr>
                <w:color w:val="002060"/>
              </w:rPr>
              <w:t>Broadcom</w:t>
            </w:r>
          </w:p>
          <w:p w:rsidR="00C30A2D" w:rsidRDefault="00C30A2D">
            <w:pPr>
              <w:rPr>
                <w:color w:val="002060"/>
              </w:rPr>
            </w:pPr>
            <w:r>
              <w:rPr>
                <w:color w:val="002060"/>
              </w:rPr>
              <w:t>NVIDIA</w:t>
            </w:r>
          </w:p>
          <w:p w:rsidR="00490145" w:rsidRPr="00372391" w:rsidRDefault="00490145">
            <w:pPr>
              <w:rPr>
                <w:color w:val="002060"/>
              </w:rPr>
            </w:pPr>
            <w:r>
              <w:rPr>
                <w:color w:val="002060"/>
              </w:rPr>
              <w:t>TVS</w:t>
            </w:r>
          </w:p>
        </w:tc>
      </w:tr>
      <w:tr w:rsidR="00C30A2D" w:rsidTr="00BB025F">
        <w:tc>
          <w:tcPr>
            <w:tcW w:w="1677" w:type="dxa"/>
            <w:vMerge/>
          </w:tcPr>
          <w:p w:rsidR="00C30A2D" w:rsidRDefault="00C30A2D"/>
        </w:tc>
        <w:tc>
          <w:tcPr>
            <w:tcW w:w="2761" w:type="dxa"/>
          </w:tcPr>
          <w:p w:rsidR="00C30A2D" w:rsidRPr="00BB025F" w:rsidRDefault="00C30A2D" w:rsidP="00372391">
            <w:pPr>
              <w:rPr>
                <w:color w:val="403152" w:themeColor="accent4" w:themeShade="80"/>
              </w:rPr>
            </w:pPr>
            <w:r w:rsidRPr="00BB025F">
              <w:rPr>
                <w:color w:val="403152" w:themeColor="accent4" w:themeShade="80"/>
              </w:rPr>
              <w:t>Embedded Software</w:t>
            </w:r>
          </w:p>
        </w:tc>
        <w:tc>
          <w:tcPr>
            <w:tcW w:w="2759" w:type="dxa"/>
          </w:tcPr>
          <w:p w:rsidR="00C30A2D" w:rsidRDefault="00C30A2D" w:rsidP="00372391">
            <w:pPr>
              <w:rPr>
                <w:color w:val="403152" w:themeColor="accent4" w:themeShade="80"/>
              </w:rPr>
            </w:pPr>
            <w:proofErr w:type="spellStart"/>
            <w:r>
              <w:rPr>
                <w:color w:val="403152" w:themeColor="accent4" w:themeShade="80"/>
              </w:rPr>
              <w:t>Wittenstein</w:t>
            </w:r>
            <w:proofErr w:type="spellEnd"/>
            <w:r>
              <w:rPr>
                <w:color w:val="403152" w:themeColor="accent4" w:themeShade="80"/>
              </w:rPr>
              <w:t xml:space="preserve"> </w:t>
            </w:r>
          </w:p>
          <w:p w:rsidR="00C30A2D" w:rsidRDefault="00C30A2D" w:rsidP="00372391">
            <w:pPr>
              <w:rPr>
                <w:color w:val="403152" w:themeColor="accent4" w:themeShade="80"/>
              </w:rPr>
            </w:pPr>
            <w:r>
              <w:rPr>
                <w:color w:val="403152" w:themeColor="accent4" w:themeShade="80"/>
              </w:rPr>
              <w:t>XMOS Semiconductor</w:t>
            </w:r>
          </w:p>
          <w:p w:rsidR="00C30A2D" w:rsidRDefault="00C30A2D" w:rsidP="00372391">
            <w:pPr>
              <w:rPr>
                <w:color w:val="403152" w:themeColor="accent4" w:themeShade="80"/>
              </w:rPr>
            </w:pPr>
            <w:r>
              <w:rPr>
                <w:color w:val="403152" w:themeColor="accent4" w:themeShade="80"/>
              </w:rPr>
              <w:t>Broadcom</w:t>
            </w:r>
          </w:p>
          <w:p w:rsidR="00490145" w:rsidRPr="00BB025F" w:rsidRDefault="00490145" w:rsidP="00372391">
            <w:pPr>
              <w:rPr>
                <w:color w:val="403152" w:themeColor="accent4" w:themeShade="80"/>
              </w:rPr>
            </w:pPr>
            <w:r>
              <w:rPr>
                <w:color w:val="403152" w:themeColor="accent4" w:themeShade="80"/>
              </w:rPr>
              <w:t>TVS</w:t>
            </w:r>
          </w:p>
        </w:tc>
      </w:tr>
      <w:tr w:rsidR="00C30A2D" w:rsidTr="003E4429">
        <w:tc>
          <w:tcPr>
            <w:tcW w:w="1677" w:type="dxa"/>
            <w:vMerge/>
          </w:tcPr>
          <w:p w:rsidR="00C30A2D" w:rsidRDefault="00C30A2D"/>
        </w:tc>
        <w:tc>
          <w:tcPr>
            <w:tcW w:w="5520" w:type="dxa"/>
            <w:gridSpan w:val="2"/>
          </w:tcPr>
          <w:p w:rsidR="00C30A2D" w:rsidRPr="00C30A2D" w:rsidRDefault="00C30A2D" w:rsidP="00C30A2D">
            <w:pPr>
              <w:jc w:val="center"/>
              <w:rPr>
                <w:b/>
                <w:color w:val="403152" w:themeColor="accent4" w:themeShade="80"/>
                <w:sz w:val="40"/>
                <w:szCs w:val="40"/>
              </w:rPr>
            </w:pPr>
            <w:r w:rsidRPr="00C30A2D">
              <w:rPr>
                <w:b/>
                <w:color w:val="403152" w:themeColor="accent4" w:themeShade="80"/>
                <w:sz w:val="40"/>
                <w:szCs w:val="40"/>
              </w:rPr>
              <w:t>Application</w:t>
            </w:r>
            <w:r>
              <w:rPr>
                <w:b/>
                <w:color w:val="403152" w:themeColor="accent4" w:themeShade="80"/>
                <w:sz w:val="40"/>
                <w:szCs w:val="40"/>
              </w:rPr>
              <w:t>s</w:t>
            </w:r>
            <w:r w:rsidRPr="00C30A2D">
              <w:rPr>
                <w:b/>
                <w:color w:val="403152" w:themeColor="accent4" w:themeShade="80"/>
                <w:sz w:val="40"/>
                <w:szCs w:val="40"/>
              </w:rPr>
              <w:t xml:space="preserve"> SIGs</w:t>
            </w:r>
          </w:p>
        </w:tc>
      </w:tr>
      <w:tr w:rsidR="00C30A2D" w:rsidTr="00BB025F">
        <w:tc>
          <w:tcPr>
            <w:tcW w:w="1677" w:type="dxa"/>
            <w:vMerge/>
          </w:tcPr>
          <w:p w:rsidR="00C30A2D" w:rsidRDefault="00C30A2D"/>
        </w:tc>
        <w:tc>
          <w:tcPr>
            <w:tcW w:w="2761" w:type="dxa"/>
          </w:tcPr>
          <w:p w:rsidR="00C30A2D" w:rsidRPr="00372391" w:rsidRDefault="00C30A2D" w:rsidP="00372391">
            <w:pPr>
              <w:rPr>
                <w:color w:val="E36C0A" w:themeColor="accent6" w:themeShade="BF"/>
              </w:rPr>
            </w:pPr>
            <w:r w:rsidRPr="00372391">
              <w:rPr>
                <w:color w:val="E36C0A" w:themeColor="accent6" w:themeShade="BF"/>
              </w:rPr>
              <w:t>Digital Health</w:t>
            </w:r>
          </w:p>
        </w:tc>
        <w:tc>
          <w:tcPr>
            <w:tcW w:w="2759" w:type="dxa"/>
          </w:tcPr>
          <w:p w:rsidR="00C30A2D" w:rsidRDefault="00C30A2D" w:rsidP="00372391">
            <w:pPr>
              <w:rPr>
                <w:color w:val="E36C0A" w:themeColor="accent6" w:themeShade="BF"/>
              </w:rPr>
            </w:pPr>
            <w:r>
              <w:rPr>
                <w:color w:val="E36C0A" w:themeColor="accent6" w:themeShade="BF"/>
              </w:rPr>
              <w:t>BRL</w:t>
            </w:r>
          </w:p>
          <w:p w:rsidR="00C30A2D" w:rsidRDefault="00C30A2D" w:rsidP="00372391">
            <w:pPr>
              <w:rPr>
                <w:color w:val="E36C0A" w:themeColor="accent6" w:themeShade="BF"/>
              </w:rPr>
            </w:pPr>
            <w:r>
              <w:rPr>
                <w:color w:val="E36C0A" w:themeColor="accent6" w:themeShade="BF"/>
              </w:rPr>
              <w:t>Atlas</w:t>
            </w:r>
          </w:p>
          <w:p w:rsidR="00C30A2D" w:rsidRPr="00372391" w:rsidRDefault="00C30A2D" w:rsidP="00372391">
            <w:pPr>
              <w:rPr>
                <w:color w:val="E36C0A" w:themeColor="accent6" w:themeShade="BF"/>
              </w:rPr>
            </w:pPr>
            <w:r>
              <w:rPr>
                <w:color w:val="E36C0A" w:themeColor="accent6" w:themeShade="BF"/>
              </w:rPr>
              <w:t>HP Labs</w:t>
            </w:r>
          </w:p>
        </w:tc>
      </w:tr>
      <w:tr w:rsidR="00C30A2D" w:rsidTr="00BB025F">
        <w:tc>
          <w:tcPr>
            <w:tcW w:w="1677" w:type="dxa"/>
            <w:vMerge/>
          </w:tcPr>
          <w:p w:rsidR="00C30A2D" w:rsidRDefault="00C30A2D"/>
        </w:tc>
        <w:tc>
          <w:tcPr>
            <w:tcW w:w="2761" w:type="dxa"/>
          </w:tcPr>
          <w:p w:rsidR="00C30A2D" w:rsidRPr="00372391" w:rsidRDefault="00C30A2D" w:rsidP="00372391">
            <w:pPr>
              <w:rPr>
                <w:color w:val="00B050"/>
              </w:rPr>
            </w:pPr>
            <w:r w:rsidRPr="00372391">
              <w:rPr>
                <w:color w:val="00B050"/>
              </w:rPr>
              <w:t>Smart Home &amp; Future Cities</w:t>
            </w:r>
          </w:p>
        </w:tc>
        <w:tc>
          <w:tcPr>
            <w:tcW w:w="2759" w:type="dxa"/>
          </w:tcPr>
          <w:p w:rsidR="00C30A2D" w:rsidRDefault="00C30A2D" w:rsidP="00372391">
            <w:pPr>
              <w:rPr>
                <w:color w:val="00B050"/>
              </w:rPr>
            </w:pPr>
            <w:r>
              <w:rPr>
                <w:color w:val="00B050"/>
              </w:rPr>
              <w:t>Continuum Bridge</w:t>
            </w:r>
          </w:p>
          <w:p w:rsidR="00C30A2D" w:rsidRDefault="00C30A2D" w:rsidP="00372391">
            <w:pPr>
              <w:rPr>
                <w:color w:val="00B050"/>
              </w:rPr>
            </w:pPr>
            <w:proofErr w:type="spellStart"/>
            <w:r>
              <w:rPr>
                <w:color w:val="00B050"/>
              </w:rPr>
              <w:t>enModus</w:t>
            </w:r>
            <w:proofErr w:type="spellEnd"/>
          </w:p>
          <w:p w:rsidR="00C30A2D" w:rsidRDefault="00C30A2D" w:rsidP="00372391">
            <w:pPr>
              <w:rPr>
                <w:color w:val="00B050"/>
              </w:rPr>
            </w:pPr>
            <w:r>
              <w:rPr>
                <w:color w:val="00B050"/>
              </w:rPr>
              <w:t>BAE Systems</w:t>
            </w:r>
          </w:p>
          <w:p w:rsidR="00C30A2D" w:rsidRPr="00372391" w:rsidRDefault="00C30A2D" w:rsidP="00372391">
            <w:pPr>
              <w:rPr>
                <w:color w:val="00B050"/>
              </w:rPr>
            </w:pPr>
          </w:p>
        </w:tc>
      </w:tr>
      <w:tr w:rsidR="00C30A2D" w:rsidTr="00BB025F">
        <w:tc>
          <w:tcPr>
            <w:tcW w:w="1677" w:type="dxa"/>
            <w:vMerge/>
          </w:tcPr>
          <w:p w:rsidR="00C30A2D" w:rsidRDefault="00C30A2D"/>
        </w:tc>
        <w:tc>
          <w:tcPr>
            <w:tcW w:w="2761" w:type="dxa"/>
          </w:tcPr>
          <w:p w:rsidR="00C30A2D" w:rsidRPr="00372391" w:rsidRDefault="00C30A2D" w:rsidP="00372391">
            <w:pPr>
              <w:rPr>
                <w:color w:val="7030A0"/>
              </w:rPr>
            </w:pPr>
            <w:r w:rsidRPr="00372391">
              <w:rPr>
                <w:color w:val="7030A0"/>
              </w:rPr>
              <w:t>Robotics</w:t>
            </w:r>
          </w:p>
        </w:tc>
        <w:tc>
          <w:tcPr>
            <w:tcW w:w="2759" w:type="dxa"/>
          </w:tcPr>
          <w:p w:rsidR="00C30A2D" w:rsidRDefault="00C30A2D" w:rsidP="00372391">
            <w:pPr>
              <w:rPr>
                <w:color w:val="7030A0"/>
              </w:rPr>
            </w:pPr>
            <w:r>
              <w:rPr>
                <w:color w:val="7030A0"/>
              </w:rPr>
              <w:t>BRL</w:t>
            </w:r>
          </w:p>
          <w:p w:rsidR="00C30A2D" w:rsidRDefault="00C30A2D" w:rsidP="00372391">
            <w:pPr>
              <w:rPr>
                <w:color w:val="7030A0"/>
              </w:rPr>
            </w:pPr>
            <w:proofErr w:type="spellStart"/>
            <w:r>
              <w:rPr>
                <w:color w:val="7030A0"/>
              </w:rPr>
              <w:t>Gobotix</w:t>
            </w:r>
            <w:proofErr w:type="spellEnd"/>
          </w:p>
          <w:p w:rsidR="00C30A2D" w:rsidRDefault="00C30A2D" w:rsidP="00372391">
            <w:pPr>
              <w:rPr>
                <w:color w:val="7030A0"/>
              </w:rPr>
            </w:pPr>
            <w:r>
              <w:rPr>
                <w:color w:val="7030A0"/>
              </w:rPr>
              <w:t>OC Robotics</w:t>
            </w:r>
          </w:p>
          <w:p w:rsidR="00C30A2D" w:rsidRPr="00372391" w:rsidRDefault="00C30A2D" w:rsidP="00372391">
            <w:pPr>
              <w:rPr>
                <w:color w:val="7030A0"/>
              </w:rPr>
            </w:pPr>
            <w:r>
              <w:rPr>
                <w:color w:val="7030A0"/>
              </w:rPr>
              <w:t>Reach Robotics</w:t>
            </w:r>
          </w:p>
        </w:tc>
      </w:tr>
      <w:tr w:rsidR="00C30A2D" w:rsidTr="00BB025F">
        <w:tc>
          <w:tcPr>
            <w:tcW w:w="1677" w:type="dxa"/>
            <w:vMerge/>
          </w:tcPr>
          <w:p w:rsidR="00C30A2D" w:rsidRDefault="00C30A2D"/>
        </w:tc>
        <w:tc>
          <w:tcPr>
            <w:tcW w:w="2761" w:type="dxa"/>
          </w:tcPr>
          <w:p w:rsidR="00C30A2D" w:rsidRDefault="00C30A2D">
            <w:r>
              <w:t>Education &amp; Careers</w:t>
            </w:r>
          </w:p>
        </w:tc>
        <w:tc>
          <w:tcPr>
            <w:tcW w:w="2759" w:type="dxa"/>
          </w:tcPr>
          <w:p w:rsidR="00C30A2D" w:rsidRDefault="00C30A2D">
            <w:r>
              <w:t>Broadcom</w:t>
            </w:r>
          </w:p>
          <w:p w:rsidR="00C30A2D" w:rsidRDefault="00C30A2D">
            <w:proofErr w:type="spellStart"/>
            <w:r>
              <w:t>Zenotech</w:t>
            </w:r>
            <w:proofErr w:type="spellEnd"/>
          </w:p>
          <w:p w:rsidR="00490145" w:rsidRDefault="00490145">
            <w:r>
              <w:t>Flaherty Publishing</w:t>
            </w:r>
          </w:p>
        </w:tc>
      </w:tr>
      <w:tr w:rsidR="00C30A2D" w:rsidTr="00BB025F">
        <w:tc>
          <w:tcPr>
            <w:tcW w:w="1677" w:type="dxa"/>
            <w:vMerge/>
          </w:tcPr>
          <w:p w:rsidR="00C30A2D" w:rsidRDefault="00C30A2D"/>
        </w:tc>
        <w:tc>
          <w:tcPr>
            <w:tcW w:w="2761" w:type="dxa"/>
          </w:tcPr>
          <w:p w:rsidR="00C30A2D" w:rsidRPr="00372391" w:rsidRDefault="00C30A2D" w:rsidP="00372391">
            <w:pPr>
              <w:rPr>
                <w:color w:val="C00000"/>
              </w:rPr>
            </w:pPr>
            <w:r w:rsidRPr="00372391">
              <w:rPr>
                <w:color w:val="C00000"/>
              </w:rPr>
              <w:t xml:space="preserve">High tech marketing </w:t>
            </w:r>
          </w:p>
        </w:tc>
        <w:tc>
          <w:tcPr>
            <w:tcW w:w="2759" w:type="dxa"/>
          </w:tcPr>
          <w:p w:rsidR="00C30A2D" w:rsidRDefault="00C30A2D" w:rsidP="00372391">
            <w:pPr>
              <w:rPr>
                <w:color w:val="C00000"/>
              </w:rPr>
            </w:pPr>
            <w:r>
              <w:rPr>
                <w:color w:val="C00000"/>
              </w:rPr>
              <w:t>Flaherty Publishing</w:t>
            </w:r>
          </w:p>
          <w:p w:rsidR="00C30A2D" w:rsidRDefault="00C30A2D" w:rsidP="00372391">
            <w:pPr>
              <w:rPr>
                <w:color w:val="C00000"/>
              </w:rPr>
            </w:pPr>
            <w:proofErr w:type="spellStart"/>
            <w:r>
              <w:rPr>
                <w:color w:val="C00000"/>
              </w:rPr>
              <w:t>Publitek</w:t>
            </w:r>
            <w:proofErr w:type="spellEnd"/>
          </w:p>
          <w:p w:rsidR="00C30A2D" w:rsidRDefault="00C30A2D" w:rsidP="00372391">
            <w:pPr>
              <w:rPr>
                <w:color w:val="C00000"/>
              </w:rPr>
            </w:pPr>
            <w:r>
              <w:rPr>
                <w:color w:val="C00000"/>
              </w:rPr>
              <w:t>XMOS</w:t>
            </w:r>
          </w:p>
          <w:p w:rsidR="00C30A2D" w:rsidRDefault="00C30A2D" w:rsidP="00372391">
            <w:pPr>
              <w:rPr>
                <w:color w:val="C00000"/>
              </w:rPr>
            </w:pPr>
            <w:r>
              <w:rPr>
                <w:color w:val="C00000"/>
              </w:rPr>
              <w:t>Broadcom</w:t>
            </w:r>
          </w:p>
          <w:p w:rsidR="00C30A2D" w:rsidRPr="00372391" w:rsidRDefault="00C30A2D" w:rsidP="00372391">
            <w:pPr>
              <w:rPr>
                <w:color w:val="C00000"/>
              </w:rPr>
            </w:pPr>
            <w:r>
              <w:rPr>
                <w:color w:val="C00000"/>
              </w:rPr>
              <w:t>NVIDIA</w:t>
            </w:r>
          </w:p>
        </w:tc>
      </w:tr>
      <w:tr w:rsidR="00C30A2D" w:rsidTr="00BB025F">
        <w:tc>
          <w:tcPr>
            <w:tcW w:w="1677" w:type="dxa"/>
            <w:vMerge/>
          </w:tcPr>
          <w:p w:rsidR="00C30A2D" w:rsidRDefault="00C30A2D"/>
        </w:tc>
        <w:tc>
          <w:tcPr>
            <w:tcW w:w="2761" w:type="dxa"/>
          </w:tcPr>
          <w:p w:rsidR="00C30A2D" w:rsidRDefault="00C30A2D">
            <w:r>
              <w:t>Intelligent Media</w:t>
            </w:r>
          </w:p>
        </w:tc>
        <w:tc>
          <w:tcPr>
            <w:tcW w:w="2759" w:type="dxa"/>
          </w:tcPr>
          <w:p w:rsidR="00C30A2D" w:rsidRDefault="00C30A2D">
            <w:r>
              <w:t>BBC</w:t>
            </w:r>
          </w:p>
          <w:p w:rsidR="00C30A2D" w:rsidRDefault="00C30A2D">
            <w:proofErr w:type="spellStart"/>
            <w:r>
              <w:t>ILine</w:t>
            </w:r>
            <w:proofErr w:type="spellEnd"/>
            <w:r>
              <w:t xml:space="preserve"> Technologies</w:t>
            </w:r>
          </w:p>
          <w:p w:rsidR="00C30A2D" w:rsidRDefault="00C30A2D">
            <w:r>
              <w:t>UWE</w:t>
            </w:r>
          </w:p>
          <w:p w:rsidR="00C30A2D" w:rsidRDefault="00C30A2D">
            <w:r>
              <w:t>HP</w:t>
            </w:r>
          </w:p>
        </w:tc>
      </w:tr>
    </w:tbl>
    <w:p w:rsidR="001E3C29" w:rsidRDefault="001E3C29" w:rsidP="001E3C29">
      <w:pPr>
        <w:rPr>
          <w:color w:val="0F243E" w:themeColor="text2" w:themeShade="80"/>
        </w:rPr>
      </w:pPr>
      <w:r>
        <w:rPr>
          <w:color w:val="0F243E" w:themeColor="text2" w:themeShade="80"/>
        </w:rPr>
        <w:lastRenderedPageBreak/>
        <w:t>Horizontal technology SIGs would cover wireless technology development, multicore and high performance computing and embedded software</w:t>
      </w:r>
    </w:p>
    <w:p w:rsidR="001E3C29" w:rsidRDefault="001E3C29" w:rsidP="001E3C29">
      <w:pPr>
        <w:rPr>
          <w:color w:val="0F243E" w:themeColor="text2" w:themeShade="80"/>
        </w:rPr>
      </w:pPr>
      <w:r>
        <w:rPr>
          <w:color w:val="0F243E" w:themeColor="text2" w:themeShade="80"/>
        </w:rPr>
        <w:t>The applications SIGs bring together the underlying technology with potential application developers and users so that the technology is not developed in a vacuum. This provides a pipeline of capabilities for the region and also serves to identify potential gaps. These are dependent on champions driving the relevant topics, but having a wide range of SIGs offers benefits to companies joining HB2.</w:t>
      </w:r>
    </w:p>
    <w:p w:rsidR="00C30A2D" w:rsidRDefault="00C30A2D">
      <w:pPr>
        <w:rPr>
          <w:color w:val="0F243E" w:themeColor="text2" w:themeShade="80"/>
        </w:rPr>
      </w:pPr>
      <w:r>
        <w:rPr>
          <w:color w:val="0F243E" w:themeColor="text2" w:themeShade="80"/>
        </w:rPr>
        <w:t>There may be other SIGs that are proposed by members as part of the high tech activity of HB that are also areas of smart specialisation for the region such as Quantum technologies or Interface Design.</w:t>
      </w:r>
    </w:p>
    <w:p w:rsidR="00C30A2D" w:rsidRPr="00C30A2D" w:rsidRDefault="00C30A2D" w:rsidP="00C30A2D">
      <w:pPr>
        <w:rPr>
          <w:b/>
          <w:color w:val="0F243E" w:themeColor="text2" w:themeShade="80"/>
        </w:rPr>
      </w:pPr>
      <w:r w:rsidRPr="00C30A2D">
        <w:rPr>
          <w:b/>
          <w:color w:val="0F243E" w:themeColor="text2" w:themeShade="80"/>
        </w:rPr>
        <w:t>Subscriptions</w:t>
      </w:r>
    </w:p>
    <w:p w:rsidR="00C30A2D" w:rsidRDefault="00C30A2D" w:rsidP="00C30A2D">
      <w:pPr>
        <w:rPr>
          <w:color w:val="0F243E" w:themeColor="text2" w:themeShade="80"/>
        </w:rPr>
      </w:pPr>
      <w:r>
        <w:rPr>
          <w:color w:val="0F243E" w:themeColor="text2" w:themeShade="80"/>
        </w:rPr>
        <w:t>The subscription allows HB2 to fund a part-time network manager to arrange the meetings and handle the administration for the groups. The lesson from Cambridge Wireless is that having a number of groups allows the cost of the subscription to be spread over several activities, reducing the barrier to entry and enhancing the value for money. The subscription rates are set at the same level as Cambridge Wireless to avoid competing.</w:t>
      </w:r>
    </w:p>
    <w:p w:rsidR="00CC0321" w:rsidRDefault="00CC0321" w:rsidP="00C30A2D">
      <w:pPr>
        <w:rPr>
          <w:color w:val="0F243E" w:themeColor="text2" w:themeShade="80"/>
        </w:rPr>
      </w:pPr>
      <w:r>
        <w:rPr>
          <w:color w:val="0F243E" w:themeColor="text2" w:themeShade="80"/>
        </w:rPr>
        <w:t xml:space="preserve">The subscription allows any member of the subscribing company to attend any of the SIGs, to stand as a champion in an existing SIG or propose a new SIG (with </w:t>
      </w:r>
    </w:p>
    <w:p w:rsidR="00CC0321" w:rsidRDefault="00CC0321" w:rsidP="00C30A2D">
      <w:pPr>
        <w:rPr>
          <w:color w:val="0F243E" w:themeColor="text2" w:themeShade="80"/>
        </w:rPr>
      </w:pPr>
      <w:r>
        <w:rPr>
          <w:color w:val="0F243E" w:themeColor="text2" w:themeShade="80"/>
        </w:rPr>
        <w:t xml:space="preserve">The range of services will be expanded </w:t>
      </w:r>
    </w:p>
    <w:p w:rsidR="00C30A2D" w:rsidRDefault="00C30A2D" w:rsidP="00C30A2D">
      <w:pPr>
        <w:rPr>
          <w:color w:val="0F243E" w:themeColor="text2" w:themeShade="80"/>
        </w:rPr>
      </w:pPr>
      <w:r>
        <w:rPr>
          <w:color w:val="0F243E" w:themeColor="text2" w:themeShade="80"/>
        </w:rPr>
        <w:t xml:space="preserve">In a difference to the Cambridge Wireless model, HB2 proposes to use the existing networking organisations such as </w:t>
      </w:r>
      <w:proofErr w:type="spellStart"/>
      <w:r>
        <w:rPr>
          <w:color w:val="0F243E" w:themeColor="text2" w:themeShade="80"/>
        </w:rPr>
        <w:t>SiliconSouthWest</w:t>
      </w:r>
      <w:proofErr w:type="spellEnd"/>
      <w:r>
        <w:rPr>
          <w:color w:val="0F243E" w:themeColor="text2" w:themeShade="80"/>
        </w:rPr>
        <w:t xml:space="preserve">, the Assisted Living Network (ALAN) and </w:t>
      </w:r>
      <w:r w:rsidR="00CC0321">
        <w:rPr>
          <w:color w:val="0F243E" w:themeColor="text2" w:themeShade="80"/>
        </w:rPr>
        <w:t xml:space="preserve">the </w:t>
      </w:r>
      <w:proofErr w:type="spellStart"/>
      <w:r w:rsidR="00CC0321">
        <w:rPr>
          <w:color w:val="0F243E" w:themeColor="text2" w:themeShade="80"/>
        </w:rPr>
        <w:t>EngineShed</w:t>
      </w:r>
      <w:proofErr w:type="spellEnd"/>
      <w:r w:rsidR="00CC0321">
        <w:rPr>
          <w:color w:val="0F243E" w:themeColor="text2" w:themeShade="80"/>
        </w:rPr>
        <w:t xml:space="preserve"> </w:t>
      </w:r>
      <w:r>
        <w:rPr>
          <w:color w:val="0F243E" w:themeColor="text2" w:themeShade="80"/>
        </w:rPr>
        <w:t>to deliver the meetings and enhance and build on the existing activities.</w:t>
      </w:r>
    </w:p>
    <w:p w:rsidR="00C30A2D" w:rsidRPr="002F2EB7" w:rsidRDefault="00C30A2D">
      <w:pPr>
        <w:rPr>
          <w:color w:val="0F243E" w:themeColor="text2" w:themeShade="80"/>
        </w:rPr>
      </w:pPr>
    </w:p>
    <w:tbl>
      <w:tblPr>
        <w:tblStyle w:val="TableGrid"/>
        <w:tblW w:w="0" w:type="auto"/>
        <w:tblLook w:val="04A0"/>
      </w:tblPr>
      <w:tblGrid>
        <w:gridCol w:w="3510"/>
        <w:gridCol w:w="5732"/>
      </w:tblGrid>
      <w:tr w:rsidR="00372391" w:rsidRPr="002F2EB7" w:rsidTr="000A55F9">
        <w:tc>
          <w:tcPr>
            <w:tcW w:w="3510" w:type="dxa"/>
            <w:vMerge w:val="restart"/>
          </w:tcPr>
          <w:p w:rsidR="00372391" w:rsidRPr="002F2EB7" w:rsidRDefault="00372391" w:rsidP="00372391">
            <w:pPr>
              <w:rPr>
                <w:color w:val="0F243E" w:themeColor="text2" w:themeShade="80"/>
              </w:rPr>
            </w:pPr>
            <w:r w:rsidRPr="002F2EB7">
              <w:rPr>
                <w:color w:val="0F243E" w:themeColor="text2" w:themeShade="80"/>
              </w:rPr>
              <w:t>Annual Membership of HB2</w:t>
            </w:r>
          </w:p>
          <w:p w:rsidR="00372391" w:rsidRPr="00EA336F" w:rsidRDefault="00372391" w:rsidP="00EA336F">
            <w:pPr>
              <w:pStyle w:val="ListParagraph"/>
              <w:numPr>
                <w:ilvl w:val="0"/>
                <w:numId w:val="1"/>
              </w:numPr>
              <w:rPr>
                <w:color w:val="0F243E" w:themeColor="text2" w:themeShade="80"/>
              </w:rPr>
            </w:pPr>
            <w:r w:rsidRPr="00EA336F">
              <w:rPr>
                <w:color w:val="0F243E" w:themeColor="text2" w:themeShade="80"/>
              </w:rPr>
              <w:t xml:space="preserve">Members join HB2 and any staff </w:t>
            </w:r>
            <w:r w:rsidR="00666851" w:rsidRPr="00EA336F">
              <w:rPr>
                <w:color w:val="0F243E" w:themeColor="text2" w:themeShade="80"/>
              </w:rPr>
              <w:t xml:space="preserve">or faculty member </w:t>
            </w:r>
            <w:r w:rsidRPr="00EA336F">
              <w:rPr>
                <w:color w:val="0F243E" w:themeColor="text2" w:themeShade="80"/>
              </w:rPr>
              <w:t>can attend any SIG meetings and vote for SIG champions</w:t>
            </w:r>
          </w:p>
          <w:p w:rsidR="00EA336F" w:rsidRDefault="00EA336F" w:rsidP="00EA336F">
            <w:pPr>
              <w:pStyle w:val="ListParagraph"/>
              <w:numPr>
                <w:ilvl w:val="0"/>
                <w:numId w:val="1"/>
              </w:numPr>
              <w:rPr>
                <w:color w:val="0F243E" w:themeColor="text2" w:themeShade="80"/>
              </w:rPr>
            </w:pPr>
            <w:r w:rsidRPr="00EA336F">
              <w:rPr>
                <w:color w:val="0F243E" w:themeColor="text2" w:themeShade="80"/>
              </w:rPr>
              <w:t xml:space="preserve">SIG champions </w:t>
            </w:r>
            <w:r>
              <w:rPr>
                <w:color w:val="0F243E" w:themeColor="text2" w:themeShade="80"/>
              </w:rPr>
              <w:t>determine content and activity of groups with support from central admin</w:t>
            </w:r>
          </w:p>
          <w:p w:rsidR="004B06B2" w:rsidRDefault="004B06B2" w:rsidP="00EA336F">
            <w:pPr>
              <w:pStyle w:val="ListParagraph"/>
              <w:numPr>
                <w:ilvl w:val="0"/>
                <w:numId w:val="1"/>
              </w:numPr>
              <w:rPr>
                <w:color w:val="0F243E" w:themeColor="text2" w:themeShade="80"/>
              </w:rPr>
            </w:pPr>
            <w:r>
              <w:rPr>
                <w:color w:val="0F243E" w:themeColor="text2" w:themeShade="80"/>
              </w:rPr>
              <w:t>Listing in website</w:t>
            </w:r>
          </w:p>
          <w:p w:rsidR="004B06B2" w:rsidRDefault="004B06B2" w:rsidP="004B06B2">
            <w:pPr>
              <w:pStyle w:val="ListParagraph"/>
              <w:numPr>
                <w:ilvl w:val="0"/>
                <w:numId w:val="1"/>
              </w:numPr>
              <w:rPr>
                <w:color w:val="0F243E" w:themeColor="text2" w:themeShade="80"/>
              </w:rPr>
            </w:pPr>
            <w:r>
              <w:rPr>
                <w:color w:val="0F243E" w:themeColor="text2" w:themeShade="80"/>
              </w:rPr>
              <w:t>Business introductions</w:t>
            </w:r>
          </w:p>
          <w:p w:rsidR="004B06B2" w:rsidRPr="004B06B2" w:rsidRDefault="004B06B2" w:rsidP="004B06B2">
            <w:pPr>
              <w:pStyle w:val="ListParagraph"/>
              <w:numPr>
                <w:ilvl w:val="0"/>
                <w:numId w:val="1"/>
              </w:numPr>
              <w:rPr>
                <w:color w:val="0F243E" w:themeColor="text2" w:themeShade="80"/>
              </w:rPr>
            </w:pPr>
            <w:r>
              <w:rPr>
                <w:color w:val="0F243E" w:themeColor="text2" w:themeShade="80"/>
              </w:rPr>
              <w:t>Founders dinner</w:t>
            </w:r>
          </w:p>
          <w:p w:rsidR="00372391" w:rsidRPr="00EA336F" w:rsidRDefault="000642F9" w:rsidP="00EA336F">
            <w:pPr>
              <w:pStyle w:val="ListParagraph"/>
              <w:numPr>
                <w:ilvl w:val="0"/>
                <w:numId w:val="1"/>
              </w:numPr>
              <w:rPr>
                <w:color w:val="0F243E" w:themeColor="text2" w:themeShade="80"/>
              </w:rPr>
            </w:pPr>
            <w:r w:rsidRPr="00EA336F">
              <w:rPr>
                <w:color w:val="0F243E" w:themeColor="text2" w:themeShade="80"/>
              </w:rPr>
              <w:t xml:space="preserve">Additional benefits </w:t>
            </w:r>
            <w:r w:rsidR="00EA336F">
              <w:rPr>
                <w:color w:val="0F243E" w:themeColor="text2" w:themeShade="80"/>
              </w:rPr>
              <w:t xml:space="preserve">to </w:t>
            </w:r>
            <w:r w:rsidRPr="00EA336F">
              <w:rPr>
                <w:color w:val="0F243E" w:themeColor="text2" w:themeShade="80"/>
              </w:rPr>
              <w:t>be developed to support members</w:t>
            </w:r>
          </w:p>
        </w:tc>
        <w:tc>
          <w:tcPr>
            <w:tcW w:w="5732" w:type="dxa"/>
          </w:tcPr>
          <w:p w:rsidR="00372391" w:rsidRPr="002F2EB7" w:rsidRDefault="00372391">
            <w:pPr>
              <w:rPr>
                <w:color w:val="0F243E" w:themeColor="text2" w:themeShade="80"/>
              </w:rPr>
            </w:pPr>
            <w:r w:rsidRPr="002F2EB7">
              <w:rPr>
                <w:color w:val="0F243E" w:themeColor="text2" w:themeShade="80"/>
              </w:rPr>
              <w:t xml:space="preserve">Corporate </w:t>
            </w:r>
            <w:r w:rsidR="000A55F9">
              <w:rPr>
                <w:color w:val="0F243E" w:themeColor="text2" w:themeShade="80"/>
              </w:rPr>
              <w:t xml:space="preserve">or University </w:t>
            </w:r>
            <w:r w:rsidRPr="002F2EB7">
              <w:rPr>
                <w:color w:val="0F243E" w:themeColor="text2" w:themeShade="80"/>
              </w:rPr>
              <w:t xml:space="preserve">membership: £4000 </w:t>
            </w:r>
          </w:p>
        </w:tc>
      </w:tr>
      <w:tr w:rsidR="004B06B2" w:rsidRPr="002F2EB7" w:rsidTr="000A55F9">
        <w:tc>
          <w:tcPr>
            <w:tcW w:w="3510" w:type="dxa"/>
            <w:vMerge/>
          </w:tcPr>
          <w:p w:rsidR="004B06B2" w:rsidRPr="002F2EB7" w:rsidRDefault="004B06B2">
            <w:pPr>
              <w:rPr>
                <w:color w:val="0F243E" w:themeColor="text2" w:themeShade="80"/>
              </w:rPr>
            </w:pPr>
          </w:p>
        </w:tc>
        <w:tc>
          <w:tcPr>
            <w:tcW w:w="5732" w:type="dxa"/>
          </w:tcPr>
          <w:p w:rsidR="004B06B2" w:rsidRPr="002F2EB7" w:rsidRDefault="004B06B2" w:rsidP="004B06B2">
            <w:pPr>
              <w:rPr>
                <w:color w:val="0F243E" w:themeColor="text2" w:themeShade="80"/>
              </w:rPr>
            </w:pPr>
            <w:r>
              <w:rPr>
                <w:color w:val="0F243E" w:themeColor="text2" w:themeShade="80"/>
              </w:rPr>
              <w:t>Medium company or faculty up to 100 staff £2000</w:t>
            </w:r>
          </w:p>
        </w:tc>
      </w:tr>
      <w:tr w:rsidR="00372391" w:rsidRPr="002F2EB7" w:rsidTr="000A55F9">
        <w:tc>
          <w:tcPr>
            <w:tcW w:w="3510" w:type="dxa"/>
            <w:vMerge/>
          </w:tcPr>
          <w:p w:rsidR="00372391" w:rsidRPr="002F2EB7" w:rsidRDefault="00372391">
            <w:pPr>
              <w:rPr>
                <w:color w:val="0F243E" w:themeColor="text2" w:themeShade="80"/>
              </w:rPr>
            </w:pPr>
          </w:p>
        </w:tc>
        <w:tc>
          <w:tcPr>
            <w:tcW w:w="5732" w:type="dxa"/>
          </w:tcPr>
          <w:p w:rsidR="00372391" w:rsidRPr="002F2EB7" w:rsidRDefault="00397B08" w:rsidP="004B06B2">
            <w:pPr>
              <w:rPr>
                <w:color w:val="0F243E" w:themeColor="text2" w:themeShade="80"/>
              </w:rPr>
            </w:pPr>
            <w:r w:rsidRPr="002F2EB7">
              <w:rPr>
                <w:color w:val="0F243E" w:themeColor="text2" w:themeShade="80"/>
              </w:rPr>
              <w:t xml:space="preserve">Medium company </w:t>
            </w:r>
            <w:r w:rsidR="000A55F9">
              <w:rPr>
                <w:color w:val="0F243E" w:themeColor="text2" w:themeShade="80"/>
              </w:rPr>
              <w:t xml:space="preserve">or university faculty up to </w:t>
            </w:r>
            <w:r w:rsidR="004B06B2">
              <w:rPr>
                <w:color w:val="0F243E" w:themeColor="text2" w:themeShade="80"/>
              </w:rPr>
              <w:t>50</w:t>
            </w:r>
            <w:r w:rsidR="000A55F9">
              <w:rPr>
                <w:color w:val="0F243E" w:themeColor="text2" w:themeShade="80"/>
              </w:rPr>
              <w:t xml:space="preserve"> staff £</w:t>
            </w:r>
            <w:r w:rsidR="004B06B2">
              <w:rPr>
                <w:color w:val="0F243E" w:themeColor="text2" w:themeShade="80"/>
              </w:rPr>
              <w:t>1</w:t>
            </w:r>
            <w:r w:rsidRPr="002F2EB7">
              <w:rPr>
                <w:color w:val="0F243E" w:themeColor="text2" w:themeShade="80"/>
              </w:rPr>
              <w:t>000</w:t>
            </w:r>
          </w:p>
        </w:tc>
      </w:tr>
      <w:tr w:rsidR="00372391" w:rsidRPr="002F2EB7" w:rsidTr="000A55F9">
        <w:tc>
          <w:tcPr>
            <w:tcW w:w="3510" w:type="dxa"/>
            <w:vMerge/>
          </w:tcPr>
          <w:p w:rsidR="00372391" w:rsidRPr="002F2EB7" w:rsidRDefault="00372391">
            <w:pPr>
              <w:rPr>
                <w:color w:val="0F243E" w:themeColor="text2" w:themeShade="80"/>
              </w:rPr>
            </w:pPr>
          </w:p>
        </w:tc>
        <w:tc>
          <w:tcPr>
            <w:tcW w:w="5732" w:type="dxa"/>
          </w:tcPr>
          <w:p w:rsidR="00372391" w:rsidRPr="002F2EB7" w:rsidRDefault="004B06B2" w:rsidP="004B06B2">
            <w:pPr>
              <w:rPr>
                <w:color w:val="0F243E" w:themeColor="text2" w:themeShade="80"/>
              </w:rPr>
            </w:pPr>
            <w:r>
              <w:rPr>
                <w:color w:val="0F243E" w:themeColor="text2" w:themeShade="80"/>
              </w:rPr>
              <w:t>Small company member (up to 20</w:t>
            </w:r>
            <w:r w:rsidR="00372391" w:rsidRPr="002F2EB7">
              <w:rPr>
                <w:color w:val="0F243E" w:themeColor="text2" w:themeShade="80"/>
              </w:rPr>
              <w:t xml:space="preserve"> staff):£</w:t>
            </w:r>
            <w:r>
              <w:rPr>
                <w:color w:val="0F243E" w:themeColor="text2" w:themeShade="80"/>
              </w:rPr>
              <w:t>600</w:t>
            </w:r>
          </w:p>
        </w:tc>
      </w:tr>
      <w:tr w:rsidR="000A55F9" w:rsidRPr="002F2EB7" w:rsidTr="000A55F9">
        <w:tc>
          <w:tcPr>
            <w:tcW w:w="3510" w:type="dxa"/>
            <w:vMerge/>
          </w:tcPr>
          <w:p w:rsidR="000A55F9" w:rsidRPr="002F2EB7" w:rsidRDefault="000A55F9">
            <w:pPr>
              <w:rPr>
                <w:color w:val="0F243E" w:themeColor="text2" w:themeShade="80"/>
              </w:rPr>
            </w:pPr>
          </w:p>
        </w:tc>
        <w:tc>
          <w:tcPr>
            <w:tcW w:w="5732" w:type="dxa"/>
          </w:tcPr>
          <w:p w:rsidR="000A55F9" w:rsidRPr="002F2EB7" w:rsidRDefault="004B06B2" w:rsidP="005807A9">
            <w:pPr>
              <w:rPr>
                <w:color w:val="0F243E" w:themeColor="text2" w:themeShade="80"/>
              </w:rPr>
            </w:pPr>
            <w:r>
              <w:rPr>
                <w:color w:val="0F243E" w:themeColor="text2" w:themeShade="80"/>
              </w:rPr>
              <w:t>Micro company (up to 5 staff) £3</w:t>
            </w:r>
            <w:r w:rsidR="000A55F9">
              <w:rPr>
                <w:color w:val="0F243E" w:themeColor="text2" w:themeShade="80"/>
              </w:rPr>
              <w:t>00</w:t>
            </w:r>
          </w:p>
        </w:tc>
      </w:tr>
      <w:tr w:rsidR="00372391" w:rsidRPr="002F2EB7" w:rsidTr="000A55F9">
        <w:tc>
          <w:tcPr>
            <w:tcW w:w="3510" w:type="dxa"/>
            <w:vMerge/>
          </w:tcPr>
          <w:p w:rsidR="00372391" w:rsidRPr="002F2EB7" w:rsidRDefault="00372391">
            <w:pPr>
              <w:rPr>
                <w:color w:val="0F243E" w:themeColor="text2" w:themeShade="80"/>
              </w:rPr>
            </w:pPr>
          </w:p>
        </w:tc>
        <w:tc>
          <w:tcPr>
            <w:tcW w:w="5732" w:type="dxa"/>
          </w:tcPr>
          <w:p w:rsidR="00372391" w:rsidRPr="002F2EB7" w:rsidRDefault="00372391" w:rsidP="005807A9">
            <w:pPr>
              <w:rPr>
                <w:color w:val="0F243E" w:themeColor="text2" w:themeShade="80"/>
              </w:rPr>
            </w:pPr>
            <w:r w:rsidRPr="002F2EB7">
              <w:rPr>
                <w:color w:val="0F243E" w:themeColor="text2" w:themeShade="80"/>
              </w:rPr>
              <w:t>Individual member: £200</w:t>
            </w:r>
          </w:p>
        </w:tc>
      </w:tr>
      <w:tr w:rsidR="004B06B2" w:rsidRPr="002F2EB7" w:rsidTr="000A55F9">
        <w:tc>
          <w:tcPr>
            <w:tcW w:w="3510" w:type="dxa"/>
          </w:tcPr>
          <w:p w:rsidR="004B06B2" w:rsidRPr="002F2EB7" w:rsidRDefault="004B06B2">
            <w:pPr>
              <w:rPr>
                <w:color w:val="0F243E" w:themeColor="text2" w:themeShade="80"/>
              </w:rPr>
            </w:pPr>
          </w:p>
        </w:tc>
        <w:tc>
          <w:tcPr>
            <w:tcW w:w="5732" w:type="dxa"/>
          </w:tcPr>
          <w:p w:rsidR="004B06B2" w:rsidRPr="002F2EB7" w:rsidRDefault="004B06B2" w:rsidP="005807A9">
            <w:pPr>
              <w:rPr>
                <w:color w:val="0F243E" w:themeColor="text2" w:themeShade="80"/>
              </w:rPr>
            </w:pPr>
            <w:r>
              <w:rPr>
                <w:color w:val="0F243E" w:themeColor="text2" w:themeShade="80"/>
              </w:rPr>
              <w:t>All memberships are subject to VAT</w:t>
            </w:r>
          </w:p>
        </w:tc>
      </w:tr>
    </w:tbl>
    <w:p w:rsidR="00BB025F" w:rsidRPr="00BB025F" w:rsidRDefault="001E3C29" w:rsidP="00DC27F9">
      <w:pPr>
        <w:jc w:val="right"/>
      </w:pPr>
      <w:r>
        <w:t>Sign up by c</w:t>
      </w:r>
      <w:r w:rsidR="006F2C0F">
        <w:t>ontact</w:t>
      </w:r>
      <w:r>
        <w:t>ing</w:t>
      </w:r>
      <w:r w:rsidR="006F2C0F">
        <w:t xml:space="preserve"> Nick Flaherty</w:t>
      </w:r>
      <w:r>
        <w:t xml:space="preserve"> at</w:t>
      </w:r>
      <w:r w:rsidR="006F2C0F">
        <w:t xml:space="preserve"> </w:t>
      </w:r>
      <w:hyperlink r:id="rId6" w:history="1">
        <w:r w:rsidR="006F2C0F" w:rsidRPr="008B0AA8">
          <w:rPr>
            <w:rStyle w:val="Hyperlink"/>
          </w:rPr>
          <w:t>nick@flaherty.co.uk</w:t>
        </w:r>
      </w:hyperlink>
      <w:r w:rsidR="006F2C0F">
        <w:t xml:space="preserve"> </w:t>
      </w:r>
      <w:r>
        <w:t xml:space="preserve">or </w:t>
      </w:r>
      <w:r w:rsidR="006F2C0F">
        <w:t>07710 236368</w:t>
      </w:r>
    </w:p>
    <w:sectPr w:rsidR="00BB025F" w:rsidRPr="00BB025F" w:rsidSect="00836D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1F48"/>
    <w:multiLevelType w:val="hybridMultilevel"/>
    <w:tmpl w:val="726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9278A0"/>
    <w:multiLevelType w:val="hybridMultilevel"/>
    <w:tmpl w:val="ED74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2753F8"/>
    <w:multiLevelType w:val="hybridMultilevel"/>
    <w:tmpl w:val="1A2A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E120A"/>
    <w:rsid w:val="000642F9"/>
    <w:rsid w:val="000A55F9"/>
    <w:rsid w:val="001E3C29"/>
    <w:rsid w:val="00242BA2"/>
    <w:rsid w:val="002F2EB7"/>
    <w:rsid w:val="003038C9"/>
    <w:rsid w:val="00367193"/>
    <w:rsid w:val="0036736D"/>
    <w:rsid w:val="00372391"/>
    <w:rsid w:val="00397B08"/>
    <w:rsid w:val="003E2D58"/>
    <w:rsid w:val="00490145"/>
    <w:rsid w:val="004A2C2F"/>
    <w:rsid w:val="004B06B2"/>
    <w:rsid w:val="00534B82"/>
    <w:rsid w:val="00657023"/>
    <w:rsid w:val="00666851"/>
    <w:rsid w:val="006C5D85"/>
    <w:rsid w:val="006F2C0F"/>
    <w:rsid w:val="0075474B"/>
    <w:rsid w:val="0076267F"/>
    <w:rsid w:val="00836D5F"/>
    <w:rsid w:val="00852334"/>
    <w:rsid w:val="009720A9"/>
    <w:rsid w:val="00A61999"/>
    <w:rsid w:val="00AE5494"/>
    <w:rsid w:val="00AF318D"/>
    <w:rsid w:val="00BB025F"/>
    <w:rsid w:val="00C26ACE"/>
    <w:rsid w:val="00C30A2D"/>
    <w:rsid w:val="00CC0321"/>
    <w:rsid w:val="00CE120A"/>
    <w:rsid w:val="00D83EB1"/>
    <w:rsid w:val="00DC27F9"/>
    <w:rsid w:val="00E20698"/>
    <w:rsid w:val="00EA336F"/>
    <w:rsid w:val="00FE3E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4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2F9"/>
    <w:rPr>
      <w:rFonts w:ascii="Tahoma" w:hAnsi="Tahoma" w:cs="Tahoma"/>
      <w:sz w:val="16"/>
      <w:szCs w:val="16"/>
    </w:rPr>
  </w:style>
  <w:style w:type="character" w:styleId="Hyperlink">
    <w:name w:val="Hyperlink"/>
    <w:basedOn w:val="DefaultParagraphFont"/>
    <w:uiPriority w:val="99"/>
    <w:unhideWhenUsed/>
    <w:rsid w:val="000642F9"/>
    <w:rPr>
      <w:color w:val="0000FF" w:themeColor="hyperlink"/>
      <w:u w:val="single"/>
    </w:rPr>
  </w:style>
  <w:style w:type="paragraph" w:styleId="ListParagraph">
    <w:name w:val="List Paragraph"/>
    <w:basedOn w:val="Normal"/>
    <w:uiPriority w:val="34"/>
    <w:qFormat/>
    <w:rsid w:val="00EA336F"/>
    <w:pPr>
      <w:ind w:left="720"/>
      <w:contextualSpacing/>
    </w:pPr>
  </w:style>
</w:styles>
</file>

<file path=word/webSettings.xml><?xml version="1.0" encoding="utf-8"?>
<w:webSettings xmlns:r="http://schemas.openxmlformats.org/officeDocument/2006/relationships" xmlns:w="http://schemas.openxmlformats.org/wordprocessingml/2006/main">
  <w:divs>
    <w:div w:id="9566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k@flaherty.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7</cp:revision>
  <cp:lastPrinted>2013-09-23T11:02:00Z</cp:lastPrinted>
  <dcterms:created xsi:type="dcterms:W3CDTF">2014-03-05T14:11:00Z</dcterms:created>
  <dcterms:modified xsi:type="dcterms:W3CDTF">2014-03-05T14:57:00Z</dcterms:modified>
</cp:coreProperties>
</file>